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D5593C" w:rsidRDefault="001521B7" w:rsidP="000607BA">
      <w:pPr>
        <w:spacing w:after="0" w:line="360" w:lineRule="auto"/>
        <w:jc w:val="both"/>
        <w:rPr>
          <w:rFonts w:ascii="Palatino Linotype" w:hAnsi="Palatino Linotype"/>
          <w:b/>
        </w:rPr>
      </w:pPr>
      <w:r w:rsidRPr="00D5593C">
        <w:rPr>
          <w:rFonts w:ascii="Palatino Linotype" w:hAnsi="Palatino Linotype"/>
          <w:b/>
        </w:rPr>
        <w:t>VOTO PARTICULAR QUE FORMULA</w:t>
      </w:r>
      <w:r w:rsidR="00E203E1" w:rsidRPr="00D5593C">
        <w:rPr>
          <w:rFonts w:ascii="Palatino Linotype" w:hAnsi="Palatino Linotype"/>
          <w:b/>
        </w:rPr>
        <w:t xml:space="preserve"> </w:t>
      </w:r>
      <w:r w:rsidRPr="00D5593C">
        <w:rPr>
          <w:rFonts w:ascii="Palatino Linotype" w:hAnsi="Palatino Linotype"/>
          <w:b/>
        </w:rPr>
        <w:t>EL C</w:t>
      </w:r>
      <w:r w:rsidR="00E203E1" w:rsidRPr="00D5593C">
        <w:rPr>
          <w:rFonts w:ascii="Palatino Linotype" w:hAnsi="Palatino Linotype"/>
          <w:b/>
        </w:rPr>
        <w:t>OMISIONADO JAVIER MARTÍNEZ CRUZ</w:t>
      </w:r>
      <w:r w:rsidRPr="00D5593C">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w:t>
      </w:r>
      <w:r w:rsidRPr="001F74A3">
        <w:rPr>
          <w:rFonts w:ascii="Palatino Linotype" w:hAnsi="Palatino Linotype"/>
          <w:b/>
        </w:rPr>
        <w:t xml:space="preserve">LA </w:t>
      </w:r>
      <w:r w:rsidR="00D22C4E" w:rsidRPr="001F74A3">
        <w:rPr>
          <w:rFonts w:ascii="Palatino Linotype" w:hAnsi="Palatino Linotype"/>
          <w:b/>
        </w:rPr>
        <w:t>DÉCIMA</w:t>
      </w:r>
      <w:r w:rsidR="00D22C4E">
        <w:rPr>
          <w:rFonts w:ascii="Palatino Linotype" w:hAnsi="Palatino Linotype"/>
          <w:b/>
        </w:rPr>
        <w:t xml:space="preserve"> </w:t>
      </w:r>
      <w:r w:rsidR="00E203E1" w:rsidRPr="00D5593C">
        <w:rPr>
          <w:rFonts w:ascii="Palatino Linotype" w:hAnsi="Palatino Linotype"/>
          <w:b/>
        </w:rPr>
        <w:t xml:space="preserve"> </w:t>
      </w:r>
      <w:r w:rsidR="00AE35F2" w:rsidRPr="00D5593C">
        <w:rPr>
          <w:rFonts w:ascii="Palatino Linotype" w:hAnsi="Palatino Linotype"/>
          <w:b/>
        </w:rPr>
        <w:t xml:space="preserve">SESIÓN </w:t>
      </w:r>
      <w:r w:rsidRPr="00D5593C">
        <w:rPr>
          <w:rFonts w:ascii="Palatino Linotype" w:hAnsi="Palatino Linotype"/>
          <w:b/>
        </w:rPr>
        <w:t xml:space="preserve">ORDINARIA DEL </w:t>
      </w:r>
      <w:r w:rsidR="003A25DC" w:rsidRPr="00D5593C">
        <w:rPr>
          <w:rFonts w:ascii="Palatino Linotype" w:hAnsi="Palatino Linotype"/>
          <w:b/>
        </w:rPr>
        <w:t xml:space="preserve">DÍA </w:t>
      </w:r>
      <w:r w:rsidR="00D22C4E">
        <w:rPr>
          <w:rFonts w:ascii="Palatino Linotype" w:hAnsi="Palatino Linotype"/>
          <w:b/>
        </w:rPr>
        <w:t xml:space="preserve">TRECE DE MARZO </w:t>
      </w:r>
      <w:r w:rsidRPr="00D5593C">
        <w:rPr>
          <w:rFonts w:ascii="Palatino Linotype" w:hAnsi="Palatino Linotype"/>
          <w:b/>
        </w:rPr>
        <w:t>DE DOS MIL DIECI</w:t>
      </w:r>
      <w:r w:rsidR="00E203E1" w:rsidRPr="00D5593C">
        <w:rPr>
          <w:rFonts w:ascii="Palatino Linotype" w:hAnsi="Palatino Linotype"/>
          <w:b/>
        </w:rPr>
        <w:t>NUEVE</w:t>
      </w:r>
      <w:r w:rsidRPr="00D5593C">
        <w:rPr>
          <w:rFonts w:ascii="Palatino Linotype" w:hAnsi="Palatino Linotype"/>
          <w:b/>
        </w:rPr>
        <w:t>, EN EL RECURSO DE REVISIÓN 0</w:t>
      </w:r>
      <w:r w:rsidR="00D22C4E">
        <w:rPr>
          <w:rFonts w:ascii="Palatino Linotype" w:hAnsi="Palatino Linotype"/>
          <w:b/>
        </w:rPr>
        <w:t>0272</w:t>
      </w:r>
      <w:r w:rsidR="00143624" w:rsidRPr="00D5593C">
        <w:rPr>
          <w:rFonts w:ascii="Palatino Linotype" w:hAnsi="Palatino Linotype"/>
          <w:b/>
        </w:rPr>
        <w:t>/INFOEM/IP/RR/201</w:t>
      </w:r>
      <w:r w:rsidR="00D22C4E">
        <w:rPr>
          <w:rFonts w:ascii="Palatino Linotype" w:hAnsi="Palatino Linotype"/>
          <w:b/>
        </w:rPr>
        <w:t>9</w:t>
      </w:r>
      <w:r w:rsidRPr="00D5593C">
        <w:rPr>
          <w:rFonts w:ascii="Palatino Linotype" w:hAnsi="Palatino Linotype"/>
          <w:b/>
        </w:rPr>
        <w:t>.</w:t>
      </w:r>
    </w:p>
    <w:p w:rsidR="004B391C" w:rsidRPr="00D5593C" w:rsidRDefault="004B391C" w:rsidP="001521B7">
      <w:pPr>
        <w:spacing w:after="0" w:line="360" w:lineRule="auto"/>
        <w:jc w:val="both"/>
        <w:rPr>
          <w:rFonts w:ascii="Palatino Linotype" w:hAnsi="Palatino Linotype"/>
        </w:rPr>
      </w:pPr>
    </w:p>
    <w:p w:rsidR="001521B7" w:rsidRPr="00D5593C" w:rsidRDefault="00661C85" w:rsidP="001521B7">
      <w:pPr>
        <w:spacing w:after="0" w:line="360" w:lineRule="auto"/>
        <w:jc w:val="both"/>
        <w:rPr>
          <w:rFonts w:ascii="Palatino Linotype" w:hAnsi="Palatino Linotype"/>
        </w:rPr>
      </w:pPr>
      <w:r w:rsidRPr="00D5593C">
        <w:rPr>
          <w:rFonts w:ascii="Palatino Linotype" w:hAnsi="Palatino Linotype"/>
        </w:rPr>
        <w:t>Con fundamento en lo dispuesto por el artículo 14</w:t>
      </w:r>
      <w:r w:rsidR="002D3ACC" w:rsidRPr="00D5593C">
        <w:rPr>
          <w:rFonts w:ascii="Palatino Linotype" w:hAnsi="Palatino Linotype"/>
        </w:rPr>
        <w:t>, fracciones</w:t>
      </w:r>
      <w:r w:rsidRPr="00D5593C">
        <w:rPr>
          <w:rFonts w:ascii="Palatino Linotype" w:hAnsi="Palatino Linotype"/>
        </w:rPr>
        <w:t xml:space="preserve"> X y XI del Reglamento Interior del Instituto de Transparencia, Acceso a la Información Pública y Protección de Datos Personales del</w:t>
      </w:r>
      <w:r w:rsidR="00E203E1" w:rsidRPr="00D5593C">
        <w:rPr>
          <w:rFonts w:ascii="Palatino Linotype" w:hAnsi="Palatino Linotype"/>
        </w:rPr>
        <w:t xml:space="preserve"> Estado de México y Municipios, el </w:t>
      </w:r>
      <w:r w:rsidR="00CC2D22" w:rsidRPr="00D5593C">
        <w:rPr>
          <w:rFonts w:ascii="Palatino Linotype" w:hAnsi="Palatino Linotype"/>
        </w:rPr>
        <w:t>Comisionado Javier Martínez Cruz</w:t>
      </w:r>
      <w:r w:rsidR="00E203E1" w:rsidRPr="00D5593C">
        <w:rPr>
          <w:rFonts w:ascii="Palatino Linotype" w:hAnsi="Palatino Linotype"/>
        </w:rPr>
        <w:t xml:space="preserve"> e</w:t>
      </w:r>
      <w:r w:rsidR="00CC2D22" w:rsidRPr="00D5593C">
        <w:rPr>
          <w:rFonts w:ascii="Palatino Linotype" w:hAnsi="Palatino Linotype"/>
        </w:rPr>
        <w:t xml:space="preserve">mite VOTO PARTICULAR respecto a la resolución dictada en el recurso de revisión número </w:t>
      </w:r>
      <w:r w:rsidR="00143624" w:rsidRPr="00D5593C">
        <w:rPr>
          <w:rFonts w:ascii="Palatino Linotype" w:hAnsi="Palatino Linotype"/>
        </w:rPr>
        <w:t>0</w:t>
      </w:r>
      <w:r w:rsidR="00D22C4E">
        <w:rPr>
          <w:rFonts w:ascii="Palatino Linotype" w:hAnsi="Palatino Linotype"/>
        </w:rPr>
        <w:t>0272</w:t>
      </w:r>
      <w:r w:rsidR="00143624" w:rsidRPr="00D5593C">
        <w:rPr>
          <w:rFonts w:ascii="Palatino Linotype" w:hAnsi="Palatino Linotype"/>
        </w:rPr>
        <w:t>/</w:t>
      </w:r>
      <w:r w:rsidRPr="00D5593C">
        <w:rPr>
          <w:rFonts w:ascii="Palatino Linotype" w:hAnsi="Palatino Linotype"/>
        </w:rPr>
        <w:t>INFOEM/IP/RR/201</w:t>
      </w:r>
      <w:r w:rsidR="00D22C4E">
        <w:rPr>
          <w:rFonts w:ascii="Palatino Linotype" w:hAnsi="Palatino Linotype"/>
        </w:rPr>
        <w:t>9</w:t>
      </w:r>
      <w:r w:rsidRPr="00D5593C">
        <w:rPr>
          <w:rFonts w:ascii="Palatino Linotype" w:hAnsi="Palatino Linotype"/>
        </w:rPr>
        <w:t xml:space="preserve">, pronunciada por el Pleno de este Instituto ante el proyecto presentado por </w:t>
      </w:r>
      <w:r w:rsidR="00D22C4E">
        <w:rPr>
          <w:rFonts w:ascii="Palatino Linotype" w:hAnsi="Palatino Linotype"/>
        </w:rPr>
        <w:t>la Comisionada Eva Abaid Yapur</w:t>
      </w:r>
      <w:r w:rsidR="00AE35F2" w:rsidRPr="00D5593C">
        <w:rPr>
          <w:rFonts w:ascii="Palatino Linotype" w:hAnsi="Palatino Linotype"/>
        </w:rPr>
        <w:t xml:space="preserve">, </w:t>
      </w:r>
      <w:r w:rsidRPr="00D5593C">
        <w:rPr>
          <w:rFonts w:ascii="Palatino Linotype" w:hAnsi="Palatino Linotype"/>
        </w:rPr>
        <w:t xml:space="preserve">que es del tenor siguiente: </w:t>
      </w:r>
    </w:p>
    <w:p w:rsidR="001521B7" w:rsidRPr="00D5593C" w:rsidRDefault="001521B7" w:rsidP="0015034F">
      <w:pPr>
        <w:spacing w:after="0" w:line="240" w:lineRule="auto"/>
        <w:jc w:val="both"/>
        <w:rPr>
          <w:rFonts w:ascii="Palatino Linotype" w:hAnsi="Palatino Linotype"/>
        </w:rPr>
      </w:pPr>
    </w:p>
    <w:p w:rsidR="000714F2" w:rsidRPr="00D5593C" w:rsidRDefault="00314438" w:rsidP="000714F2">
      <w:pPr>
        <w:spacing w:before="120" w:after="120" w:line="360" w:lineRule="auto"/>
        <w:jc w:val="both"/>
        <w:rPr>
          <w:rFonts w:ascii="Palatino Linotype" w:hAnsi="Palatino Linotype" w:cs="Arial"/>
          <w:bCs/>
          <w:lang w:val="es-ES"/>
        </w:rPr>
      </w:pPr>
      <w:r w:rsidRPr="00D5593C">
        <w:rPr>
          <w:rFonts w:ascii="Palatino Linotype" w:hAnsi="Palatino Linotype"/>
        </w:rPr>
        <w:t>De manera previa a la emisión del presente voto, cabe precisar qu</w:t>
      </w:r>
      <w:bookmarkStart w:id="0" w:name="_GoBack"/>
      <w:bookmarkEnd w:id="0"/>
      <w:r w:rsidRPr="00D5593C">
        <w:rPr>
          <w:rFonts w:ascii="Palatino Linotype" w:hAnsi="Palatino Linotype"/>
        </w:rPr>
        <w:t xml:space="preserve">e </w:t>
      </w:r>
      <w:r w:rsidR="00346DEE">
        <w:rPr>
          <w:rFonts w:ascii="Palatino Linotype" w:hAnsi="Palatino Linotype"/>
        </w:rPr>
        <w:t xml:space="preserve">el </w:t>
      </w:r>
      <w:r w:rsidRPr="00D5593C">
        <w:rPr>
          <w:rFonts w:ascii="Palatino Linotype" w:hAnsi="Palatino Linotype"/>
        </w:rPr>
        <w:t xml:space="preserve">particular </w:t>
      </w:r>
      <w:r w:rsidRPr="00D5593C">
        <w:rPr>
          <w:rFonts w:ascii="Palatino Linotype" w:hAnsi="Palatino Linotype" w:cs="Arial"/>
          <w:bCs/>
          <w:lang w:val="es-ES"/>
        </w:rPr>
        <w:t xml:space="preserve">requirió al Sujeto Obligado </w:t>
      </w:r>
      <w:r w:rsidR="00346DEE" w:rsidRPr="00346DEE">
        <w:rPr>
          <w:rFonts w:ascii="Palatino Linotype" w:hAnsi="Palatino Linotype" w:cs="Arial"/>
          <w:b/>
          <w:bCs/>
          <w:lang w:val="es-ES"/>
        </w:rPr>
        <w:t>Junta Local de Conciliación y Arbitraje Valle Cuautitlán-Texcoco</w:t>
      </w:r>
      <w:r w:rsidR="00346DEE">
        <w:rPr>
          <w:rFonts w:ascii="Palatino Linotype" w:hAnsi="Palatino Linotype" w:cs="Arial"/>
          <w:bCs/>
          <w:lang w:val="es-ES"/>
        </w:rPr>
        <w:t xml:space="preserve"> le informara si </w:t>
      </w:r>
      <w:r w:rsidR="00346DEE" w:rsidRPr="00346DEE">
        <w:rPr>
          <w:rFonts w:ascii="Palatino Linotype" w:hAnsi="Palatino Linotype" w:cs="Arial"/>
          <w:bCs/>
          <w:lang w:val="es-ES"/>
        </w:rPr>
        <w:t xml:space="preserve">la empresa </w:t>
      </w:r>
      <w:r w:rsidR="00346DEE">
        <w:rPr>
          <w:rFonts w:ascii="Palatino Linotype" w:hAnsi="Palatino Linotype" w:cs="Arial"/>
          <w:bCs/>
          <w:lang w:val="es-ES"/>
        </w:rPr>
        <w:t>“</w:t>
      </w:r>
      <w:r w:rsidR="008C5722">
        <w:rPr>
          <w:rFonts w:ascii="Palatino Linotype" w:hAnsi="Palatino Linotype" w:cs="Arial"/>
          <w:bCs/>
          <w:lang w:val="es-ES"/>
        </w:rPr>
        <w:t>XXXXXXXXXXXXXXXXXXXXXXXXX</w:t>
      </w:r>
      <w:r w:rsidR="00346DEE" w:rsidRPr="00346DEE">
        <w:rPr>
          <w:rFonts w:ascii="Palatino Linotype" w:hAnsi="Palatino Linotype" w:cs="Arial"/>
          <w:bCs/>
          <w:lang w:val="es-ES"/>
        </w:rPr>
        <w:t>.</w:t>
      </w:r>
      <w:r w:rsidR="00346DEE">
        <w:rPr>
          <w:rFonts w:ascii="Palatino Linotype" w:hAnsi="Palatino Linotype" w:cs="Arial"/>
          <w:bCs/>
          <w:lang w:val="es-ES"/>
        </w:rPr>
        <w:t>”</w:t>
      </w:r>
      <w:r w:rsidR="00346DEE" w:rsidRPr="00346DEE">
        <w:rPr>
          <w:rFonts w:ascii="Palatino Linotype" w:hAnsi="Palatino Linotype" w:cs="Arial"/>
          <w:bCs/>
          <w:lang w:val="es-ES"/>
        </w:rPr>
        <w:t xml:space="preserve"> tuvo algún juicio laboral durante el año 2009</w:t>
      </w:r>
      <w:r w:rsidR="00346DEE">
        <w:rPr>
          <w:rFonts w:ascii="Palatino Linotype" w:hAnsi="Palatino Linotype" w:cs="Arial"/>
          <w:bCs/>
          <w:lang w:val="es-ES"/>
        </w:rPr>
        <w:t xml:space="preserve">, que de ser así su </w:t>
      </w:r>
      <w:r w:rsidR="00346DEE" w:rsidRPr="00346DEE">
        <w:rPr>
          <w:rFonts w:ascii="Palatino Linotype" w:hAnsi="Palatino Linotype" w:cs="Arial"/>
          <w:bCs/>
          <w:lang w:val="es-ES"/>
        </w:rPr>
        <w:t>deseo</w:t>
      </w:r>
      <w:r w:rsidR="00346DEE">
        <w:rPr>
          <w:rFonts w:ascii="Palatino Linotype" w:hAnsi="Palatino Linotype" w:cs="Arial"/>
          <w:bCs/>
          <w:lang w:val="es-ES"/>
        </w:rPr>
        <w:t xml:space="preserve"> es </w:t>
      </w:r>
      <w:r w:rsidR="00346DEE" w:rsidRPr="00346DEE">
        <w:rPr>
          <w:rFonts w:ascii="Palatino Linotype" w:hAnsi="Palatino Linotype" w:cs="Arial"/>
          <w:bCs/>
          <w:lang w:val="es-ES"/>
        </w:rPr>
        <w:t xml:space="preserve">saber el número de expediente de los juicios laborales; si en los juicios que tuvo se celebró algún convenio dentro de juicio o si se dictó algún laudo definitivo; la fecha de los convenios o de los laudos definitivos; asimismo, </w:t>
      </w:r>
      <w:r w:rsidR="00346DEE">
        <w:rPr>
          <w:rFonts w:ascii="Palatino Linotype" w:hAnsi="Palatino Linotype" w:cs="Arial"/>
          <w:bCs/>
          <w:lang w:val="es-ES"/>
        </w:rPr>
        <w:t xml:space="preserve">que </w:t>
      </w:r>
      <w:r w:rsidR="00346DEE" w:rsidRPr="00346DEE">
        <w:rPr>
          <w:rFonts w:ascii="Palatino Linotype" w:hAnsi="Palatino Linotype" w:cs="Arial"/>
          <w:bCs/>
          <w:lang w:val="es-ES"/>
        </w:rPr>
        <w:t>proporcionara la versión pública de los laudos definitivos.</w:t>
      </w:r>
    </w:p>
    <w:p w:rsidR="00D300AA" w:rsidRDefault="00346DEE" w:rsidP="00D300AA">
      <w:pPr>
        <w:spacing w:before="120" w:after="120" w:line="360" w:lineRule="auto"/>
        <w:jc w:val="both"/>
        <w:rPr>
          <w:rFonts w:ascii="Palatino Linotype" w:hAnsi="Palatino Linotype" w:cs="Arial"/>
          <w:bCs/>
          <w:lang w:val="es-ES"/>
        </w:rPr>
      </w:pPr>
      <w:r>
        <w:rPr>
          <w:rFonts w:ascii="Palatino Linotype" w:hAnsi="Palatino Linotype" w:cs="Arial"/>
          <w:bCs/>
          <w:lang w:val="es-ES"/>
        </w:rPr>
        <w:t>E</w:t>
      </w:r>
      <w:r w:rsidR="00531DBB" w:rsidRPr="00D5593C">
        <w:rPr>
          <w:rFonts w:ascii="Palatino Linotype" w:hAnsi="Palatino Linotype" w:cs="Arial"/>
          <w:bCs/>
          <w:lang w:val="es-ES"/>
        </w:rPr>
        <w:t>l Sujeto Obligado</w:t>
      </w:r>
      <w:r>
        <w:rPr>
          <w:rFonts w:ascii="Palatino Linotype" w:hAnsi="Palatino Linotype" w:cs="Arial"/>
          <w:bCs/>
          <w:lang w:val="es-ES"/>
        </w:rPr>
        <w:t xml:space="preserve"> en respuesta manifestó que</w:t>
      </w:r>
      <w:r w:rsidR="00531DBB" w:rsidRPr="00D5593C">
        <w:rPr>
          <w:rFonts w:ascii="Palatino Linotype" w:hAnsi="Palatino Linotype" w:cs="Arial"/>
          <w:bCs/>
          <w:lang w:val="es-ES"/>
        </w:rPr>
        <w:t xml:space="preserve"> </w:t>
      </w:r>
      <w:r w:rsidR="00D300AA" w:rsidRPr="00D300AA">
        <w:rPr>
          <w:rFonts w:ascii="Palatino Linotype" w:hAnsi="Palatino Linotype" w:cs="Arial"/>
          <w:bCs/>
          <w:lang w:val="es-ES"/>
        </w:rPr>
        <w:t>no era procedente la entrega de la información requerida, en atención a que contenía información confidencial de los diversos procedimien</w:t>
      </w:r>
      <w:r w:rsidR="00D300AA">
        <w:rPr>
          <w:rFonts w:ascii="Palatino Linotype" w:hAnsi="Palatino Linotype" w:cs="Arial"/>
          <w:bCs/>
          <w:lang w:val="es-ES"/>
        </w:rPr>
        <w:t xml:space="preserve">tos administrativos y jurídicos; </w:t>
      </w:r>
      <w:r w:rsidR="00D300AA" w:rsidRPr="00D300AA">
        <w:rPr>
          <w:rFonts w:ascii="Palatino Linotype" w:hAnsi="Palatino Linotype" w:cs="Arial"/>
          <w:bCs/>
          <w:lang w:val="es-ES"/>
        </w:rPr>
        <w:t xml:space="preserve"> </w:t>
      </w:r>
      <w:r w:rsidR="00D300AA">
        <w:rPr>
          <w:rFonts w:ascii="Palatino Linotype" w:hAnsi="Palatino Linotype" w:cs="Arial"/>
          <w:bCs/>
          <w:lang w:val="es-ES"/>
        </w:rPr>
        <w:t xml:space="preserve">por lo que </w:t>
      </w:r>
      <w:r w:rsidR="00D300AA" w:rsidRPr="00D300AA">
        <w:rPr>
          <w:rFonts w:ascii="Palatino Linotype" w:hAnsi="Palatino Linotype" w:cs="Arial"/>
          <w:bCs/>
          <w:lang w:val="es-ES"/>
        </w:rPr>
        <w:t xml:space="preserve">el Comité de Transparencia del Sujeto </w:t>
      </w:r>
      <w:r w:rsidR="00D300AA" w:rsidRPr="00D300AA">
        <w:rPr>
          <w:rFonts w:ascii="Palatino Linotype" w:hAnsi="Palatino Linotype" w:cs="Arial"/>
          <w:bCs/>
          <w:lang w:val="es-ES"/>
        </w:rPr>
        <w:lastRenderedPageBreak/>
        <w:t>Obligado clasificó como reservada la información, en términos de lo dispuesto por los artículos 132 al 134 de la Ley ya citada en materia de transparencia.</w:t>
      </w:r>
    </w:p>
    <w:p w:rsidR="00D75967" w:rsidRPr="00D5593C" w:rsidRDefault="00314438" w:rsidP="00D300AA">
      <w:pPr>
        <w:spacing w:before="120" w:after="120" w:line="360" w:lineRule="auto"/>
        <w:jc w:val="both"/>
        <w:rPr>
          <w:rFonts w:ascii="Palatino Linotype" w:hAnsi="Palatino Linotype" w:cs="Arial"/>
        </w:rPr>
      </w:pPr>
      <w:r w:rsidRPr="00D5593C">
        <w:rPr>
          <w:rFonts w:ascii="Palatino Linotype" w:hAnsi="Palatino Linotype" w:cs="Arial"/>
          <w:color w:val="000000" w:themeColor="text1"/>
        </w:rPr>
        <w:t>Ante la</w:t>
      </w:r>
      <w:r w:rsidR="00B63624" w:rsidRPr="00D5593C">
        <w:rPr>
          <w:rFonts w:ascii="Palatino Linotype" w:hAnsi="Palatino Linotype" w:cs="Arial"/>
          <w:color w:val="000000" w:themeColor="text1"/>
        </w:rPr>
        <w:t xml:space="preserve"> </w:t>
      </w:r>
      <w:r w:rsidRPr="00D5593C">
        <w:rPr>
          <w:rFonts w:ascii="Palatino Linotype" w:hAnsi="Palatino Linotype" w:cs="Arial"/>
          <w:color w:val="000000" w:themeColor="text1"/>
        </w:rPr>
        <w:t>respuesta,</w:t>
      </w:r>
      <w:r w:rsidR="002A5F7A" w:rsidRPr="00D5593C">
        <w:rPr>
          <w:rFonts w:ascii="Palatino Linotype" w:hAnsi="Palatino Linotype" w:cs="Arial"/>
          <w:color w:val="000000" w:themeColor="text1"/>
        </w:rPr>
        <w:t xml:space="preserve"> </w:t>
      </w:r>
      <w:r w:rsidR="00B63624" w:rsidRPr="00D5593C">
        <w:rPr>
          <w:rFonts w:ascii="Palatino Linotype" w:hAnsi="Palatino Linotype" w:cs="Arial"/>
          <w:color w:val="000000" w:themeColor="text1"/>
        </w:rPr>
        <w:t xml:space="preserve">el </w:t>
      </w:r>
      <w:r w:rsidRPr="00D5593C">
        <w:rPr>
          <w:rFonts w:ascii="Palatino Linotype" w:hAnsi="Palatino Linotype" w:cs="Arial"/>
          <w:color w:val="000000" w:themeColor="text1"/>
        </w:rPr>
        <w:t>Recurrente</w:t>
      </w:r>
      <w:r w:rsidR="00D75967" w:rsidRPr="00D5593C">
        <w:rPr>
          <w:rFonts w:ascii="Palatino Linotype" w:hAnsi="Palatino Linotype" w:cs="Arial"/>
          <w:color w:val="000000" w:themeColor="text1"/>
        </w:rPr>
        <w:t xml:space="preserve"> procedió a través de presente recurso de revisión, señalando s</w:t>
      </w:r>
      <w:r w:rsidR="00D75967" w:rsidRPr="00D5593C">
        <w:rPr>
          <w:rFonts w:ascii="Palatino Linotype" w:hAnsi="Palatino Linotype" w:cs="Arial"/>
        </w:rPr>
        <w:t xml:space="preserve">ustancialmente como </w:t>
      </w:r>
      <w:r w:rsidR="00D75967" w:rsidRPr="00346DEE">
        <w:rPr>
          <w:rFonts w:ascii="Palatino Linotype" w:hAnsi="Palatino Linotype" w:cs="Arial"/>
          <w:b/>
        </w:rPr>
        <w:t>motivo de inconformidad</w:t>
      </w:r>
      <w:r w:rsidR="00D75967" w:rsidRPr="00D5593C">
        <w:rPr>
          <w:rFonts w:ascii="Palatino Linotype" w:hAnsi="Palatino Linotype" w:cs="Arial"/>
        </w:rPr>
        <w:t xml:space="preserve"> </w:t>
      </w:r>
      <w:r w:rsidR="00D300AA" w:rsidRPr="00D300AA">
        <w:rPr>
          <w:rFonts w:ascii="Palatino Linotype" w:hAnsi="Palatino Linotype" w:cs="Arial"/>
        </w:rPr>
        <w:t>que en ningún momento solicitó información confidencial, sino versiones pública</w:t>
      </w:r>
      <w:r w:rsidR="009767C2">
        <w:rPr>
          <w:rFonts w:ascii="Palatino Linotype" w:hAnsi="Palatino Linotype" w:cs="Arial"/>
        </w:rPr>
        <w:t xml:space="preserve">s de los expedientes concluidos, lo cual reiteró en vía de manifestaciones. </w:t>
      </w:r>
    </w:p>
    <w:p w:rsidR="000642D8" w:rsidRDefault="00314438" w:rsidP="000642D8">
      <w:pPr>
        <w:spacing w:before="120" w:after="120" w:line="360" w:lineRule="auto"/>
        <w:jc w:val="both"/>
        <w:rPr>
          <w:rFonts w:ascii="Palatino Linotype" w:hAnsi="Palatino Linotype" w:cs="Arial"/>
        </w:rPr>
      </w:pPr>
      <w:r w:rsidRPr="00D5593C">
        <w:rPr>
          <w:rFonts w:ascii="Palatino Linotype" w:hAnsi="Palatino Linotype" w:cs="Arial"/>
        </w:rPr>
        <w:t xml:space="preserve">Al respecto, el Sujeto Obligado </w:t>
      </w:r>
      <w:r w:rsidR="00346DEE">
        <w:rPr>
          <w:rFonts w:ascii="Palatino Linotype" w:hAnsi="Palatino Linotype" w:cs="Arial"/>
        </w:rPr>
        <w:t xml:space="preserve">fue omiso en rendir su informe justificado. </w:t>
      </w:r>
    </w:p>
    <w:p w:rsidR="008957B1" w:rsidRDefault="00314438" w:rsidP="008957B1">
      <w:pPr>
        <w:spacing w:before="120" w:after="120" w:line="360" w:lineRule="auto"/>
        <w:jc w:val="both"/>
        <w:rPr>
          <w:rFonts w:ascii="Palatino Linotype" w:hAnsi="Palatino Linotype" w:cs="Arial"/>
          <w:lang w:val="es-ES_tradnl"/>
        </w:rPr>
      </w:pPr>
      <w:r w:rsidRPr="008957B1">
        <w:rPr>
          <w:rFonts w:ascii="Palatino Linotype" w:hAnsi="Palatino Linotype" w:cs="Arial"/>
          <w:lang w:val="es-ES_tradnl"/>
        </w:rPr>
        <w:t xml:space="preserve">En ese tenor, la Ponencia resolutora </w:t>
      </w:r>
      <w:r w:rsidR="008957B1" w:rsidRPr="008957B1">
        <w:rPr>
          <w:rFonts w:ascii="Palatino Linotype" w:hAnsi="Palatino Linotype" w:cs="Arial"/>
          <w:lang w:val="es-ES_tradnl"/>
        </w:rPr>
        <w:t>determinó revocar la respuesta</w:t>
      </w:r>
      <w:r w:rsidR="008957B1">
        <w:rPr>
          <w:rFonts w:ascii="Palatino Linotype" w:hAnsi="Palatino Linotype" w:cs="Arial"/>
          <w:lang w:val="es-ES_tradnl"/>
        </w:rPr>
        <w:t xml:space="preserve"> y </w:t>
      </w:r>
      <w:r w:rsidR="008957B1" w:rsidRPr="008957B1">
        <w:rPr>
          <w:rFonts w:ascii="Palatino Linotype" w:hAnsi="Palatino Linotype" w:cs="Arial"/>
          <w:lang w:val="es-ES_tradnl"/>
        </w:rPr>
        <w:t xml:space="preserve">determina ordenar al Sujeto Obligado la entrega del Acuerdo de Clasificación de la información requerida, </w:t>
      </w:r>
      <w:r w:rsidR="008957B1">
        <w:rPr>
          <w:rFonts w:ascii="Palatino Linotype" w:hAnsi="Palatino Linotype" w:cs="Arial"/>
          <w:lang w:val="es-ES_tradnl"/>
        </w:rPr>
        <w:t xml:space="preserve">toda vez que </w:t>
      </w:r>
      <w:r w:rsidR="008957B1" w:rsidRPr="008957B1">
        <w:rPr>
          <w:rFonts w:ascii="Palatino Linotype" w:hAnsi="Palatino Linotype" w:cs="Arial"/>
          <w:lang w:val="es-ES_tradnl"/>
        </w:rPr>
        <w:t>se trata de información susceptible de ser clasificada como confidencial.</w:t>
      </w:r>
    </w:p>
    <w:p w:rsidR="00D026DB" w:rsidRPr="008957B1" w:rsidRDefault="00D026DB" w:rsidP="008957B1">
      <w:pPr>
        <w:spacing w:before="120" w:after="120" w:line="360" w:lineRule="auto"/>
        <w:jc w:val="both"/>
        <w:rPr>
          <w:rFonts w:ascii="Palatino Linotype" w:hAnsi="Palatino Linotype" w:cs="Arial"/>
          <w:lang w:val="es-ES_tradnl"/>
        </w:rPr>
      </w:pPr>
      <w:r>
        <w:rPr>
          <w:rFonts w:ascii="Palatino Linotype" w:hAnsi="Palatino Linotype" w:cs="Arial"/>
          <w:lang w:val="es-ES_tradnl"/>
        </w:rPr>
        <w:t xml:space="preserve">Asimismo, en el punto resolutivo QUINTO, ordenó hacer del conocimiento al Recurrente que  </w:t>
      </w:r>
      <w:r w:rsidRPr="00D026DB">
        <w:rPr>
          <w:rFonts w:ascii="Palatino Linotype" w:hAnsi="Palatino Linotype" w:cs="Arial"/>
          <w:lang w:val="es-ES_tradnl"/>
        </w:rPr>
        <w:t>de conformidad con lo establecido en el artículo 196 de la Ley de Transparencia y Acceso a la Información Pública del Estado de México y Municipios, podrá impugnarla vía Juicio de Amparo en los términos de las leyes aplicables</w:t>
      </w:r>
      <w:r>
        <w:rPr>
          <w:rFonts w:ascii="Palatino Linotype" w:hAnsi="Palatino Linotype" w:cs="Arial"/>
          <w:lang w:val="es-ES_tradnl"/>
        </w:rPr>
        <w:t xml:space="preserve"> </w:t>
      </w:r>
    </w:p>
    <w:p w:rsidR="00AD24B7" w:rsidRPr="00D5593C" w:rsidRDefault="00AD24B7" w:rsidP="00314438">
      <w:pPr>
        <w:spacing w:before="240" w:after="240" w:line="360" w:lineRule="auto"/>
        <w:jc w:val="both"/>
        <w:rPr>
          <w:rFonts w:ascii="Palatino Linotype" w:eastAsia="Times New Roman" w:hAnsi="Palatino Linotype" w:cs="Arial"/>
          <w:lang w:val="es-ES" w:eastAsia="es-ES"/>
        </w:rPr>
      </w:pPr>
      <w:r w:rsidRPr="00D5593C">
        <w:rPr>
          <w:rFonts w:ascii="Palatino Linotype" w:hAnsi="Palatino Linotype" w:cs="Arial"/>
        </w:rPr>
        <w:t xml:space="preserve">Al respecto, </w:t>
      </w:r>
      <w:r w:rsidR="009B4BAC" w:rsidRPr="00D5593C">
        <w:rPr>
          <w:rFonts w:ascii="Palatino Linotype" w:hAnsi="Palatino Linotype" w:cs="Arial"/>
        </w:rPr>
        <w:t xml:space="preserve">el </w:t>
      </w:r>
      <w:r w:rsidRPr="00D5593C">
        <w:rPr>
          <w:rFonts w:ascii="Palatino Linotype" w:hAnsi="Palatino Linotype" w:cs="Arial"/>
        </w:rPr>
        <w:t>suscrito considera</w:t>
      </w:r>
      <w:r w:rsidR="009F2FF9" w:rsidRPr="00D5593C">
        <w:rPr>
          <w:rFonts w:ascii="Palatino Linotype" w:hAnsi="Palatino Linotype" w:cs="Arial"/>
        </w:rPr>
        <w:t xml:space="preserve"> </w:t>
      </w:r>
      <w:r w:rsidRPr="00D5593C">
        <w:rPr>
          <w:rFonts w:ascii="Palatino Linotype" w:hAnsi="Palatino Linotype" w:cs="Arial"/>
        </w:rPr>
        <w:t xml:space="preserve">pertinente referir que a </w:t>
      </w:r>
      <w:r w:rsidRPr="00D5593C">
        <w:rPr>
          <w:rFonts w:ascii="Palatino Linotype" w:eastAsia="Times New Roman" w:hAnsi="Palatino Linotype" w:cs="Arial"/>
          <w:lang w:val="es-ES" w:eastAsia="es-ES"/>
        </w:rPr>
        <w:t>partir de la interpretación</w:t>
      </w:r>
      <w:r w:rsidRPr="00D5593C">
        <w:rPr>
          <w:rFonts w:ascii="Palatino Linotype" w:eastAsia="Times New Roman" w:hAnsi="Palatino Linotype" w:cs="Arial"/>
          <w:vertAlign w:val="superscript"/>
          <w:lang w:val="es-ES" w:eastAsia="es-ES"/>
        </w:rPr>
        <w:footnoteReference w:id="1"/>
      </w:r>
      <w:r w:rsidRPr="00D5593C">
        <w:rPr>
          <w:rFonts w:ascii="Palatino Linotype" w:eastAsia="Times New Roman" w:hAnsi="Palatino Linotype" w:cs="Arial"/>
          <w:lang w:val="es-ES" w:eastAsia="es-ES"/>
        </w:rPr>
        <w:t xml:space="preserve"> a los artículos 159 y 160 de la Ley General de Transparencia y Acceso a la Información Pública que</w:t>
      </w:r>
      <w:r w:rsidR="009F2FF9" w:rsidRPr="00D5593C">
        <w:rPr>
          <w:rFonts w:ascii="Palatino Linotype" w:eastAsia="Times New Roman" w:hAnsi="Palatino Linotype" w:cs="Arial"/>
          <w:lang w:val="es-ES" w:eastAsia="es-ES"/>
        </w:rPr>
        <w:t xml:space="preserve"> a la letra ordenan: </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b/>
          <w:i/>
          <w:lang w:val="es-ES" w:eastAsia="es-ES"/>
        </w:rPr>
        <w:lastRenderedPageBreak/>
        <w:t xml:space="preserve">“Artículo 159. </w:t>
      </w:r>
      <w:r w:rsidRPr="00D5593C">
        <w:rPr>
          <w:rFonts w:ascii="Palatino Linotype" w:eastAsia="Times New Roman" w:hAnsi="Palatino Linotype" w:cs="Arial"/>
          <w:i/>
          <w:lang w:val="es-ES" w:eastAsia="es-ES"/>
        </w:rPr>
        <w:t>Tratándose de las resoluciones a los recursos de revisión de los Organismos garantes de las Entidades Federativas, los particulares podrán optar por acudir ante el Instituto o ante el Poder Judicial de la Federación.”</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b/>
          <w:i/>
          <w:lang w:val="es-ES" w:eastAsia="es-ES"/>
        </w:rPr>
        <w:t>“Artículo 160.</w:t>
      </w:r>
      <w:r w:rsidRPr="00D5593C">
        <w:rPr>
          <w:rFonts w:ascii="Palatino Linotype" w:eastAsia="Times New Roman" w:hAnsi="Palatino Linotype" w:cs="Arial"/>
          <w:i/>
          <w:lang w:val="es-ES" w:eastAsia="es-ES"/>
        </w:rPr>
        <w:t xml:space="preserve"> El recurso de inconformidad procede contra las resoluciones emitidas por los Organismos garantes de las Entidades Federativas que:</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i/>
          <w:lang w:val="es-ES" w:eastAsia="es-ES"/>
        </w:rPr>
        <w:t xml:space="preserve">I. Confirmen o modifiquen la clasificación de la información, </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i/>
          <w:lang w:val="es-ES" w:eastAsia="es-ES"/>
        </w:rPr>
        <w:t>…”</w:t>
      </w:r>
    </w:p>
    <w:p w:rsidR="00AD24B7" w:rsidRPr="00D5593C" w:rsidRDefault="009F2FF9"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Arial"/>
          <w:lang w:val="es-ES" w:eastAsia="es-ES"/>
        </w:rPr>
        <w:t>La P</w:t>
      </w:r>
      <w:r w:rsidR="00AD24B7" w:rsidRPr="00D5593C">
        <w:rPr>
          <w:rFonts w:ascii="Palatino Linotype" w:eastAsia="Times New Roman" w:hAnsi="Palatino Linotype" w:cs="Arial"/>
          <w:lang w:val="es-ES" w:eastAsia="es-ES"/>
        </w:rPr>
        <w:t xml:space="preserve">onencia resolutora debió </w:t>
      </w:r>
      <w:r w:rsidR="00AD24B7" w:rsidRPr="00D5593C">
        <w:rPr>
          <w:rFonts w:ascii="Palatino Linotype" w:eastAsia="Times New Roman" w:hAnsi="Palatino Linotype" w:cs="Times New Roman"/>
          <w:lang w:val="es-ES" w:eastAsia="es-ES"/>
        </w:rPr>
        <w:t>notificar a</w:t>
      </w:r>
      <w:r w:rsidR="005111D9">
        <w:rPr>
          <w:rFonts w:ascii="Palatino Linotype" w:eastAsia="Times New Roman" w:hAnsi="Palatino Linotype" w:cs="Times New Roman"/>
          <w:lang w:val="es-ES" w:eastAsia="es-ES"/>
        </w:rPr>
        <w:t xml:space="preserve">l </w:t>
      </w:r>
      <w:r w:rsidR="00AD24B7" w:rsidRPr="00D5593C">
        <w:rPr>
          <w:rFonts w:ascii="Palatino Linotype" w:eastAsia="Times New Roman" w:hAnsi="Palatino Linotype" w:cs="Times New Roman"/>
          <w:lang w:val="es-ES" w:eastAsia="es-ES"/>
        </w:rPr>
        <w:t>particular</w:t>
      </w:r>
      <w:r w:rsidRPr="00D5593C">
        <w:rPr>
          <w:rFonts w:ascii="Palatino Linotype" w:eastAsia="Times New Roman" w:hAnsi="Palatino Linotype" w:cs="Times New Roman"/>
          <w:lang w:val="es-ES" w:eastAsia="es-ES"/>
        </w:rPr>
        <w:t>,</w:t>
      </w:r>
      <w:r w:rsidR="00AD24B7" w:rsidRPr="00D5593C">
        <w:rPr>
          <w:rFonts w:ascii="Palatino Linotype" w:eastAsia="Times New Roman" w:hAnsi="Palatino Linotype" w:cs="Times New Roman"/>
          <w:lang w:val="es-ES" w:eastAsia="es-ES"/>
        </w:rPr>
        <w:t xml:space="preserve"> que podía acudir ante el Instituto Nacional de Transparencia, Acceso a la Información y Protección de Datos Personales (INAI) o ante el Poder Judicial de la Federación para interponer recurso de inconformidad, </w:t>
      </w:r>
      <w:r w:rsidR="00AD24B7" w:rsidRPr="00D5593C">
        <w:rPr>
          <w:rFonts w:ascii="Palatino Linotype" w:eastAsia="Times New Roman" w:hAnsi="Palatino Linotype" w:cs="Arial"/>
          <w:lang w:val="es-ES" w:eastAsia="es-ES"/>
        </w:rPr>
        <w:t xml:space="preserve">favoreciendo con ello lo previsto en el artículo </w:t>
      </w:r>
      <w:r w:rsidRPr="00D5593C">
        <w:rPr>
          <w:rFonts w:ascii="Palatino Linotype" w:eastAsia="Times New Roman" w:hAnsi="Palatino Linotype" w:cs="Arial"/>
          <w:lang w:val="es-ES" w:eastAsia="es-ES"/>
        </w:rPr>
        <w:t>“</w:t>
      </w:r>
      <w:r w:rsidR="00AD24B7" w:rsidRPr="00D5593C">
        <w:rPr>
          <w:rFonts w:ascii="Palatino Linotype" w:eastAsia="Times New Roman" w:hAnsi="Palatino Linotype" w:cs="Arial"/>
          <w:lang w:val="es-ES" w:eastAsia="es-ES"/>
        </w:rPr>
        <w:t>1</w:t>
      </w:r>
      <w:r w:rsidRPr="00D5593C">
        <w:rPr>
          <w:rFonts w:ascii="Palatino Linotype" w:eastAsia="Times New Roman" w:hAnsi="Palatino Linotype" w:cs="Arial"/>
          <w:lang w:val="es-ES" w:eastAsia="es-ES"/>
        </w:rPr>
        <w:t>”</w:t>
      </w:r>
      <w:r w:rsidR="00AD24B7" w:rsidRPr="00D5593C">
        <w:rPr>
          <w:rFonts w:ascii="Palatino Linotype" w:eastAsia="Times New Roman" w:hAnsi="Palatino Linotype" w:cs="Arial"/>
          <w:vertAlign w:val="superscript"/>
          <w:lang w:val="es-ES" w:eastAsia="es-ES"/>
        </w:rPr>
        <w:footnoteReference w:id="2"/>
      </w:r>
      <w:r w:rsidR="00AD24B7" w:rsidRPr="00D5593C">
        <w:rPr>
          <w:rFonts w:ascii="Palatino Linotype" w:eastAsia="Times New Roman" w:hAnsi="Palatino Linotype" w:cs="Arial"/>
          <w:lang w:val="es-ES" w:eastAsia="es-ES"/>
        </w:rPr>
        <w:t xml:space="preserve"> de la Constitución Política de los Estados Unidos Mexicanos.</w:t>
      </w:r>
    </w:p>
    <w:p w:rsidR="00AD24B7" w:rsidRPr="00D5593C" w:rsidRDefault="00AD24B7"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lastRenderedPageBreak/>
        <w:t>En este sentido y para abundar en el tema</w:t>
      </w:r>
      <w:r w:rsidR="00C05880" w:rsidRPr="00D5593C">
        <w:rPr>
          <w:rFonts w:ascii="Palatino Linotype" w:eastAsia="Times New Roman" w:hAnsi="Palatino Linotype" w:cs="Times New Roman"/>
          <w:lang w:val="es-ES" w:eastAsia="es-ES"/>
        </w:rPr>
        <w:t>,</w:t>
      </w:r>
      <w:r w:rsidRPr="00D5593C">
        <w:rPr>
          <w:rFonts w:ascii="Palatino Linotype" w:eastAsia="Times New Roman" w:hAnsi="Palatino Linotype" w:cs="Times New Roman"/>
          <w:lang w:val="es-ES" w:eastAsia="es-ES"/>
        </w:rPr>
        <w:t xml:space="preserve"> conviene precisar que los particulares podrán interponer recurso de inconformidad ante el INAI o ante el Poder Judicial de la Federación dentro de los quince días posteriores </w:t>
      </w:r>
      <w:r w:rsidR="006A2894" w:rsidRPr="00D5593C">
        <w:rPr>
          <w:rFonts w:ascii="Palatino Linotype" w:eastAsia="Times New Roman" w:hAnsi="Palatino Linotype" w:cs="Times New Roman"/>
          <w:lang w:val="es-ES" w:eastAsia="es-ES"/>
        </w:rPr>
        <w:t xml:space="preserve">en </w:t>
      </w:r>
      <w:r w:rsidRPr="00D5593C">
        <w:rPr>
          <w:rFonts w:ascii="Palatino Linotype" w:eastAsia="Times New Roman" w:hAnsi="Palatino Linotype" w:cs="Times New Roman"/>
          <w:lang w:val="es-ES" w:eastAsia="es-ES"/>
        </w:rPr>
        <w:t>que se tuvo conocimiento de la resolución</w:t>
      </w:r>
      <w:r w:rsidR="00CF0BAC" w:rsidRPr="00D5593C">
        <w:rPr>
          <w:rFonts w:ascii="Palatino Linotype" w:eastAsia="Times New Roman" w:hAnsi="Palatino Linotype" w:cs="Times New Roman"/>
          <w:lang w:val="es-ES" w:eastAsia="es-ES"/>
        </w:rPr>
        <w:t>.</w:t>
      </w:r>
    </w:p>
    <w:p w:rsidR="00AD24B7" w:rsidRPr="00D5593C" w:rsidRDefault="00AD24B7"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 xml:space="preserve">Cabe considerar, que también se podrá presentar por escrito ante este Instituto, instancia que a su vez tiene la obligación de remitirlo al día siguiente de su recepción al </w:t>
      </w:r>
      <w:r w:rsidR="00CF0BAC" w:rsidRPr="00D5593C">
        <w:rPr>
          <w:rFonts w:ascii="Palatino Linotype" w:eastAsia="Times New Roman" w:hAnsi="Palatino Linotype" w:cs="Times New Roman"/>
          <w:lang w:val="es-ES" w:eastAsia="es-ES"/>
        </w:rPr>
        <w:t>INAI</w:t>
      </w:r>
      <w:r w:rsidRPr="00D5593C">
        <w:rPr>
          <w:rFonts w:ascii="Palatino Linotype" w:eastAsia="Times New Roman" w:hAnsi="Palatino Linotype" w:cs="Times New Roman"/>
          <w:lang w:val="es-ES" w:eastAsia="es-ES"/>
        </w:rPr>
        <w:t>, acompañado de la resolución impugnada.</w:t>
      </w:r>
    </w:p>
    <w:p w:rsidR="00AD24B7" w:rsidRPr="00D5593C" w:rsidRDefault="00714A12" w:rsidP="00AD24B7">
      <w:pPr>
        <w:spacing w:before="240" w:after="12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Recurso de inconformidad</w:t>
      </w:r>
      <w:r w:rsidR="00AD24B7" w:rsidRPr="00D5593C">
        <w:rPr>
          <w:rFonts w:ascii="Palatino Linotype" w:eastAsia="Times New Roman" w:hAnsi="Palatino Linotype" w:cs="Times New Roman"/>
          <w:lang w:val="es-ES" w:eastAsia="es-ES"/>
        </w:rPr>
        <w:t xml:space="preserve"> que deberá contener lo dispuesto en el artículo 162 de la Ley General de referencia, que </w:t>
      </w:r>
      <w:r w:rsidRPr="00D5593C">
        <w:rPr>
          <w:rFonts w:ascii="Palatino Linotype" w:eastAsia="Times New Roman" w:hAnsi="Palatino Linotype" w:cs="Times New Roman"/>
          <w:lang w:val="es-ES" w:eastAsia="es-ES"/>
        </w:rPr>
        <w:t xml:space="preserve">dispone: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w:t>
      </w:r>
      <w:r w:rsidRPr="00D5593C">
        <w:rPr>
          <w:rFonts w:ascii="Palatino Linotype" w:eastAsia="Times New Roman" w:hAnsi="Palatino Linotype" w:cs="Times New Roman"/>
          <w:b/>
          <w:i/>
          <w:lang w:val="es-ES" w:eastAsia="es-ES"/>
        </w:rPr>
        <w:t>Artículo 162.</w:t>
      </w:r>
      <w:r w:rsidRPr="00D5593C">
        <w:rPr>
          <w:rFonts w:ascii="Palatino Linotype" w:eastAsia="Times New Roman" w:hAnsi="Palatino Linotype" w:cs="Times New Roman"/>
          <w:i/>
          <w:lang w:val="es-ES" w:eastAsia="es-ES"/>
        </w:rPr>
        <w:t xml:space="preserve"> El recurso de inconformidad deberá contener: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 El sujeto obligado ante el cual se presentó la solicitud;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II. El número de la resolución del recurso de revisión de la resolución impugnada;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III. El organismo garante que emitió la resolución que se impugna;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IV. El nombre del inconforme y, en su caso, del tercero interesado, así como las correspondientes direcciones o medios para recibir notificaciones;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 La fecha en que fue notificada la resolución impugnada;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 El acto que se recurre;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VII. Las razones o motivos de la inconformidad, y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VIII. La copia de la resolución que se impugna y, en su caso, de la notificación correspondiente.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El recurrente podrá anexar las pruebas y demás elementos que considere procedentes someter a consideración del organismo garante.”</w:t>
      </w:r>
    </w:p>
    <w:p w:rsidR="00AD24B7" w:rsidRPr="00D5593C" w:rsidRDefault="00AD24B7" w:rsidP="00AD24B7">
      <w:pPr>
        <w:spacing w:after="0" w:line="276" w:lineRule="auto"/>
        <w:jc w:val="both"/>
        <w:rPr>
          <w:rFonts w:ascii="Palatino Linotype" w:eastAsia="Times New Roman" w:hAnsi="Palatino Linotype" w:cs="Times New Roman"/>
          <w:lang w:val="es-ES" w:eastAsia="es-ES"/>
        </w:rPr>
      </w:pPr>
    </w:p>
    <w:p w:rsidR="00AD24B7" w:rsidRPr="00D5593C" w:rsidRDefault="00C57674" w:rsidP="00AD24B7">
      <w:pPr>
        <w:spacing w:before="12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lastRenderedPageBreak/>
        <w:t xml:space="preserve">En ese tenor, se colige </w:t>
      </w:r>
      <w:r w:rsidR="00AD24B7" w:rsidRPr="00D5593C">
        <w:rPr>
          <w:rFonts w:ascii="Palatino Linotype" w:eastAsia="Times New Roman" w:hAnsi="Palatino Linotype" w:cs="Times New Roman"/>
          <w:lang w:val="es-ES" w:eastAsia="es-ES"/>
        </w:rPr>
        <w:t>que a fin de salvaguardar el derecho de acceso a la información de</w:t>
      </w:r>
      <w:r w:rsidR="00AC5E73" w:rsidRPr="00D5593C">
        <w:rPr>
          <w:rFonts w:ascii="Palatino Linotype" w:eastAsia="Times New Roman" w:hAnsi="Palatino Linotype" w:cs="Times New Roman"/>
          <w:lang w:val="es-ES" w:eastAsia="es-ES"/>
        </w:rPr>
        <w:t xml:space="preserve">l </w:t>
      </w:r>
      <w:r w:rsidR="00AD24B7" w:rsidRPr="00D5593C">
        <w:rPr>
          <w:rFonts w:ascii="Palatino Linotype" w:eastAsia="Times New Roman" w:hAnsi="Palatino Linotype" w:cs="Times New Roman"/>
          <w:lang w:val="es-ES" w:eastAsia="es-ES"/>
        </w:rPr>
        <w:t>particular, la Ponencia resolutora debió notificar mediante el resolutivo</w:t>
      </w:r>
      <w:r w:rsidRPr="00D5593C">
        <w:rPr>
          <w:rFonts w:ascii="Palatino Linotype" w:eastAsia="Times New Roman" w:hAnsi="Palatino Linotype" w:cs="Times New Roman"/>
          <w:color w:val="FF0000"/>
          <w:lang w:val="es-ES" w:eastAsia="es-ES"/>
        </w:rPr>
        <w:t xml:space="preserve"> </w:t>
      </w:r>
      <w:r w:rsidR="00AC5E73" w:rsidRPr="00D5593C">
        <w:rPr>
          <w:rFonts w:ascii="Palatino Linotype" w:eastAsia="Times New Roman" w:hAnsi="Palatino Linotype" w:cs="Times New Roman"/>
          <w:lang w:val="es-ES" w:eastAsia="es-ES"/>
        </w:rPr>
        <w:t>Cuarto</w:t>
      </w:r>
      <w:r w:rsidR="00225005" w:rsidRPr="00D5593C">
        <w:rPr>
          <w:rFonts w:ascii="Palatino Linotype" w:eastAsia="Times New Roman" w:hAnsi="Palatino Linotype" w:cs="Times New Roman"/>
          <w:lang w:val="es-ES" w:eastAsia="es-ES"/>
        </w:rPr>
        <w:t xml:space="preserve">, </w:t>
      </w:r>
      <w:r w:rsidRPr="00D5593C">
        <w:rPr>
          <w:rFonts w:ascii="Palatino Linotype" w:eastAsia="Times New Roman" w:hAnsi="Palatino Linotype" w:cs="Times New Roman"/>
          <w:lang w:val="es-ES" w:eastAsia="es-ES"/>
        </w:rPr>
        <w:t>q</w:t>
      </w:r>
      <w:r w:rsidR="00AD24B7" w:rsidRPr="00D5593C">
        <w:rPr>
          <w:rFonts w:ascii="Palatino Linotype" w:eastAsia="Times New Roman" w:hAnsi="Palatino Linotype" w:cs="Times New Roman"/>
          <w:lang w:val="es-ES" w:eastAsia="es-ES"/>
        </w:rPr>
        <w:t xml:space="preserve">ue </w:t>
      </w:r>
      <w:r w:rsidR="00B57FC7" w:rsidRPr="00D5593C">
        <w:rPr>
          <w:rFonts w:ascii="Palatino Linotype" w:eastAsia="Times New Roman" w:hAnsi="Palatino Linotype" w:cs="Times New Roman"/>
          <w:lang w:val="es-ES" w:eastAsia="es-ES"/>
        </w:rPr>
        <w:t xml:space="preserve">el </w:t>
      </w:r>
      <w:r w:rsidR="00AD24B7" w:rsidRPr="00D5593C">
        <w:rPr>
          <w:rFonts w:ascii="Palatino Linotype" w:eastAsia="Times New Roman" w:hAnsi="Palatino Linotype" w:cs="Times New Roman"/>
          <w:lang w:val="es-ES" w:eastAsia="es-ES"/>
        </w:rPr>
        <w:t xml:space="preserve">hoy Recurrente podía interponer recurso de inconformidad ante el Instituto Nacional de Transparencia, Acceso a la Información y </w:t>
      </w:r>
      <w:r w:rsidR="00A2363A" w:rsidRPr="00D5593C">
        <w:rPr>
          <w:rFonts w:ascii="Palatino Linotype" w:eastAsia="Times New Roman" w:hAnsi="Palatino Linotype" w:cs="Times New Roman"/>
          <w:lang w:val="es-ES" w:eastAsia="es-ES"/>
        </w:rPr>
        <w:t xml:space="preserve">Protección de Datos Personales </w:t>
      </w:r>
      <w:r w:rsidR="00AD24B7" w:rsidRPr="00D5593C">
        <w:rPr>
          <w:rFonts w:ascii="Palatino Linotype" w:eastAsia="Times New Roman" w:hAnsi="Palatino Linotype" w:cs="Times New Roman"/>
          <w:lang w:val="es-ES" w:eastAsia="es-ES"/>
        </w:rPr>
        <w:t>o ante el Poder Judicial de la Federación</w:t>
      </w:r>
      <w:r w:rsidRPr="00D5593C">
        <w:rPr>
          <w:rFonts w:ascii="Palatino Linotype" w:eastAsia="Times New Roman" w:hAnsi="Palatino Linotype" w:cs="Times New Roman"/>
          <w:lang w:val="es-ES" w:eastAsia="es-ES"/>
        </w:rPr>
        <w:t>,</w:t>
      </w:r>
      <w:r w:rsidR="00AD24B7" w:rsidRPr="00D5593C">
        <w:rPr>
          <w:rFonts w:ascii="Palatino Linotype" w:eastAsia="Times New Roman" w:hAnsi="Palatino Linotype" w:cs="Times New Roman"/>
          <w:lang w:val="es-ES" w:eastAsia="es-ES"/>
        </w:rPr>
        <w:t xml:space="preserve"> con </w:t>
      </w:r>
      <w:r w:rsidRPr="00D5593C">
        <w:rPr>
          <w:rFonts w:ascii="Palatino Linotype" w:eastAsia="Times New Roman" w:hAnsi="Palatino Linotype" w:cs="Times New Roman"/>
          <w:lang w:val="es-ES" w:eastAsia="es-ES"/>
        </w:rPr>
        <w:t>fundamento e</w:t>
      </w:r>
      <w:r w:rsidR="00AD24B7" w:rsidRPr="00D5593C">
        <w:rPr>
          <w:rFonts w:ascii="Palatino Linotype" w:eastAsia="Times New Roman" w:hAnsi="Palatino Linotype" w:cs="Times New Roman"/>
          <w:lang w:val="es-ES" w:eastAsia="es-ES"/>
        </w:rPr>
        <w:t xml:space="preserve">n </w:t>
      </w:r>
      <w:r w:rsidRPr="00D5593C">
        <w:rPr>
          <w:rFonts w:ascii="Palatino Linotype" w:eastAsia="Times New Roman" w:hAnsi="Palatino Linotype" w:cs="Times New Roman"/>
          <w:lang w:val="es-ES" w:eastAsia="es-ES"/>
        </w:rPr>
        <w:t xml:space="preserve">lo dispuesto por </w:t>
      </w:r>
      <w:r w:rsidR="00AD24B7" w:rsidRPr="00D5593C">
        <w:rPr>
          <w:rFonts w:ascii="Palatino Linotype" w:eastAsia="Times New Roman" w:hAnsi="Palatino Linotype" w:cs="Times New Roman"/>
          <w:lang w:val="es-ES" w:eastAsia="es-ES"/>
        </w:rPr>
        <w:t>los artículos 196 de la Ley de Transparencia y Acceso a la Información Pública del Estado de México de México y Municipios, 159 y 160 de la Ley General de Transparencia y Acceso a la Información Pública.</w:t>
      </w:r>
    </w:p>
    <w:p w:rsidR="00AD24B7" w:rsidRPr="00D5593C" w:rsidRDefault="00AD24B7" w:rsidP="00AD24B7">
      <w:pPr>
        <w:spacing w:line="360" w:lineRule="auto"/>
        <w:jc w:val="both"/>
        <w:rPr>
          <w:rFonts w:ascii="Palatino Linotype" w:hAnsi="Palatino Linotype"/>
          <w:b/>
        </w:rPr>
      </w:pPr>
      <w:r w:rsidRPr="00D5593C">
        <w:rPr>
          <w:rFonts w:ascii="Palatino Linotype" w:hAnsi="Palatino Linotype" w:cs="Arial"/>
        </w:rPr>
        <w:t>Consideraciones de hecho y derecho</w:t>
      </w:r>
      <w:r w:rsidR="006B53DC" w:rsidRPr="00D5593C">
        <w:rPr>
          <w:rFonts w:ascii="Palatino Linotype" w:hAnsi="Palatino Linotype" w:cs="Arial"/>
        </w:rPr>
        <w:t xml:space="preserve"> que constituyen </w:t>
      </w:r>
      <w:r w:rsidRPr="00D5593C">
        <w:rPr>
          <w:rFonts w:ascii="Palatino Linotype" w:hAnsi="Palatino Linotype"/>
        </w:rPr>
        <w:t xml:space="preserve">la emisión del presente Voto Particular, relacionado con la resolución del recurso de revisión referido. </w:t>
      </w:r>
    </w:p>
    <w:p w:rsidR="00335C19" w:rsidRPr="00D5593C" w:rsidRDefault="00C7542E" w:rsidP="00C7542E">
      <w:pPr>
        <w:spacing w:after="0" w:line="240" w:lineRule="auto"/>
        <w:rPr>
          <w:rFonts w:ascii="Palatino Linotype" w:hAnsi="Palatino Linotype"/>
          <w:b/>
        </w:rPr>
      </w:pPr>
      <w:r w:rsidRPr="00D5593C">
        <w:rPr>
          <w:rFonts w:ascii="Palatino Linotype" w:hAnsi="Palatino Linotype"/>
          <w:b/>
        </w:rPr>
        <w:t xml:space="preserve">             </w:t>
      </w:r>
      <w:r w:rsidR="00C976AC" w:rsidRPr="00D5593C">
        <w:rPr>
          <w:rFonts w:ascii="Palatino Linotype" w:hAnsi="Palatino Linotype"/>
          <w:b/>
        </w:rPr>
        <w:t xml:space="preserve">        </w:t>
      </w:r>
      <w:r w:rsidR="00335C19" w:rsidRPr="00D5593C">
        <w:rPr>
          <w:rFonts w:ascii="Palatino Linotype" w:hAnsi="Palatino Linotype"/>
          <w:b/>
        </w:rPr>
        <w:t xml:space="preserve">            </w:t>
      </w:r>
    </w:p>
    <w:p w:rsidR="00335C19" w:rsidRPr="00D5593C" w:rsidRDefault="00335C19" w:rsidP="00C7542E">
      <w:pPr>
        <w:spacing w:after="0" w:line="240" w:lineRule="auto"/>
        <w:rPr>
          <w:rFonts w:ascii="Palatino Linotype" w:hAnsi="Palatino Linotype"/>
          <w:b/>
        </w:rPr>
      </w:pPr>
    </w:p>
    <w:p w:rsidR="00F86E78" w:rsidRDefault="00F86E78" w:rsidP="00B57FC7">
      <w:pPr>
        <w:spacing w:after="0" w:line="240" w:lineRule="auto"/>
        <w:jc w:val="center"/>
        <w:rPr>
          <w:rFonts w:ascii="Palatino Linotype" w:hAnsi="Palatino Linotype"/>
          <w:b/>
        </w:rPr>
      </w:pPr>
    </w:p>
    <w:p w:rsidR="005A7373" w:rsidRDefault="005A7373" w:rsidP="00B57FC7">
      <w:pPr>
        <w:spacing w:after="0" w:line="240" w:lineRule="auto"/>
        <w:jc w:val="center"/>
        <w:rPr>
          <w:rFonts w:ascii="Palatino Linotype" w:hAnsi="Palatino Linotype"/>
          <w:b/>
        </w:rPr>
      </w:pPr>
    </w:p>
    <w:p w:rsidR="006060EE" w:rsidRPr="00D5593C" w:rsidRDefault="00C72D86" w:rsidP="00B57FC7">
      <w:pPr>
        <w:spacing w:after="0" w:line="240" w:lineRule="auto"/>
        <w:jc w:val="center"/>
        <w:rPr>
          <w:rFonts w:ascii="Palatino Linotype" w:hAnsi="Palatino Linotype"/>
          <w:b/>
        </w:rPr>
      </w:pPr>
      <w:r w:rsidRPr="00D5593C">
        <w:rPr>
          <w:rFonts w:ascii="Palatino Linotype" w:hAnsi="Palatino Linotype"/>
          <w:b/>
        </w:rPr>
        <w:t>Jav</w:t>
      </w:r>
      <w:r w:rsidR="00B57FC7" w:rsidRPr="00D5593C">
        <w:rPr>
          <w:rFonts w:ascii="Palatino Linotype" w:hAnsi="Palatino Linotype"/>
          <w:b/>
        </w:rPr>
        <w:t>ier Martínez Cruz</w:t>
      </w:r>
    </w:p>
    <w:p w:rsidR="00B57FC7" w:rsidRDefault="00B57FC7" w:rsidP="00B57FC7">
      <w:pPr>
        <w:spacing w:after="0" w:line="240" w:lineRule="auto"/>
        <w:jc w:val="center"/>
        <w:rPr>
          <w:rFonts w:ascii="Palatino Linotype" w:hAnsi="Palatino Linotype"/>
          <w:b/>
        </w:rPr>
      </w:pPr>
      <w:r w:rsidRPr="00D5593C">
        <w:rPr>
          <w:rFonts w:ascii="Palatino Linotype" w:hAnsi="Palatino Linotype"/>
          <w:b/>
        </w:rPr>
        <w:t xml:space="preserve">Comisionado </w:t>
      </w:r>
    </w:p>
    <w:p w:rsidR="00A87723" w:rsidRPr="00A87723" w:rsidRDefault="00A87723" w:rsidP="00B57FC7">
      <w:pPr>
        <w:spacing w:after="0" w:line="240" w:lineRule="auto"/>
        <w:jc w:val="center"/>
        <w:rPr>
          <w:rFonts w:ascii="Palatino Linotype" w:hAnsi="Palatino Linotype"/>
        </w:rPr>
      </w:pPr>
      <w:r w:rsidRPr="00A87723">
        <w:rPr>
          <w:rFonts w:ascii="Palatino Linotype" w:hAnsi="Palatino Linotype"/>
        </w:rPr>
        <w:t>(Rúbrica)</w:t>
      </w:r>
    </w:p>
    <w:sectPr w:rsidR="00A87723" w:rsidRPr="00A87723" w:rsidSect="00DC32F9">
      <w:headerReference w:type="even" r:id="rId8"/>
      <w:headerReference w:type="default" r:id="rId9"/>
      <w:footerReference w:type="default" r:id="rId10"/>
      <w:headerReference w:type="first" r:id="rId11"/>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C3" w:rsidRDefault="00F013C3" w:rsidP="00907451">
      <w:pPr>
        <w:spacing w:after="0" w:line="240" w:lineRule="auto"/>
      </w:pPr>
      <w:r>
        <w:separator/>
      </w:r>
    </w:p>
  </w:endnote>
  <w:endnote w:type="continuationSeparator" w:id="0">
    <w:p w:rsidR="00F013C3" w:rsidRDefault="00F013C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C5722">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C5722">
      <w:rPr>
        <w:rFonts w:ascii="Arial" w:hAnsi="Arial" w:cs="Arial"/>
        <w:b/>
        <w:bCs/>
        <w:noProof/>
        <w:sz w:val="20"/>
        <w:szCs w:val="20"/>
      </w:rPr>
      <w:t>5</w:t>
    </w:r>
    <w:r w:rsidRPr="00986599">
      <w:rPr>
        <w:rFonts w:ascii="Arial" w:hAnsi="Arial" w:cs="Arial"/>
        <w:b/>
        <w:bCs/>
        <w:sz w:val="20"/>
        <w:szCs w:val="20"/>
      </w:rPr>
      <w:fldChar w:fldCharType="end"/>
    </w:r>
  </w:p>
  <w:p w:rsidR="00D758BE" w:rsidRDefault="00F013C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C3" w:rsidRDefault="00F013C3" w:rsidP="00907451">
      <w:pPr>
        <w:spacing w:after="0" w:line="240" w:lineRule="auto"/>
      </w:pPr>
      <w:r>
        <w:separator/>
      </w:r>
    </w:p>
  </w:footnote>
  <w:footnote w:type="continuationSeparator" w:id="0">
    <w:p w:rsidR="00F013C3" w:rsidRDefault="00F013C3" w:rsidP="00907451">
      <w:pPr>
        <w:spacing w:after="0" w:line="240" w:lineRule="auto"/>
      </w:pPr>
      <w:r>
        <w:continuationSeparator/>
      </w:r>
    </w:p>
  </w:footnote>
  <w:footnote w:id="1">
    <w:p w:rsidR="00AD24B7" w:rsidRPr="00747C5F" w:rsidRDefault="00AD24B7" w:rsidP="00AD24B7">
      <w:pPr>
        <w:pStyle w:val="Textonotapie"/>
        <w:jc w:val="both"/>
        <w:rPr>
          <w:rFonts w:ascii="Palatino Linotype" w:hAnsi="Palatino Linotype"/>
          <w:i/>
          <w:sz w:val="18"/>
          <w:szCs w:val="18"/>
        </w:rPr>
      </w:pPr>
      <w:r>
        <w:rPr>
          <w:rStyle w:val="Refdenotaalpie"/>
        </w:rPr>
        <w:footnoteRef/>
      </w:r>
      <w:r>
        <w:t xml:space="preserve"> </w:t>
      </w:r>
      <w:r w:rsidRPr="00747C5F">
        <w:rPr>
          <w:rFonts w:ascii="Palatino Linotype" w:hAnsi="Palatino Linotype"/>
          <w:i/>
          <w:sz w:val="18"/>
          <w:szCs w:val="18"/>
        </w:rPr>
        <w:t xml:space="preserve">Cfr. </w:t>
      </w:r>
      <w:r w:rsidRPr="00747C5F">
        <w:rPr>
          <w:rFonts w:ascii="Palatino Linotype" w:hAnsi="Palatino Linotype"/>
          <w:sz w:val="18"/>
          <w:szCs w:val="18"/>
        </w:rPr>
        <w:t xml:space="preserve">Tesis Aislada de la Décima Época P. II/2017 (10a.) </w:t>
      </w:r>
      <w:r w:rsidRPr="00747C5F">
        <w:rPr>
          <w:rFonts w:ascii="Palatino Linotype" w:hAnsi="Palatino Linotype"/>
          <w:i/>
          <w:sz w:val="18"/>
          <w:szCs w:val="18"/>
        </w:rPr>
        <w:t xml:space="preserve">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w:t>
      </w:r>
      <w:proofErr w:type="spellStart"/>
      <w:r w:rsidRPr="00747C5F">
        <w:rPr>
          <w:rFonts w:ascii="Palatino Linotype" w:hAnsi="Palatino Linotype"/>
          <w:i/>
          <w:sz w:val="18"/>
          <w:szCs w:val="18"/>
        </w:rPr>
        <w:t>inconvencional</w:t>
      </w:r>
      <w:proofErr w:type="spellEnd"/>
      <w:r w:rsidRPr="00747C5F">
        <w:rPr>
          <w:rFonts w:ascii="Palatino Linotype" w:hAnsi="Palatino Linotype"/>
          <w:i/>
          <w:sz w:val="18"/>
          <w:szCs w:val="18"/>
        </w:rPr>
        <w:t xml:space="preserve">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w:t>
      </w:r>
      <w:proofErr w:type="spellStart"/>
      <w:r w:rsidRPr="00747C5F">
        <w:rPr>
          <w:rFonts w:ascii="Palatino Linotype" w:hAnsi="Palatino Linotype"/>
          <w:i/>
          <w:sz w:val="18"/>
          <w:szCs w:val="18"/>
        </w:rPr>
        <w:t>inconvencionalidad</w:t>
      </w:r>
      <w:proofErr w:type="spellEnd"/>
      <w:r w:rsidRPr="00747C5F">
        <w:rPr>
          <w:rFonts w:ascii="Palatino Linotype" w:hAnsi="Palatino Linotype"/>
          <w:i/>
          <w:sz w:val="18"/>
          <w:szCs w:val="18"/>
        </w:rPr>
        <w:t>;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AD24B7" w:rsidRPr="00747C5F" w:rsidRDefault="00AD24B7" w:rsidP="00AD24B7">
      <w:pPr>
        <w:pStyle w:val="Textonotapie"/>
        <w:jc w:val="both"/>
        <w:rPr>
          <w:rFonts w:ascii="Palatino Linotype" w:hAnsi="Palatino Linotype"/>
          <w:i/>
          <w:sz w:val="18"/>
          <w:szCs w:val="18"/>
        </w:rPr>
      </w:pPr>
      <w:r w:rsidRPr="00747C5F">
        <w:rPr>
          <w:rStyle w:val="Refdenotaalpie"/>
          <w:sz w:val="18"/>
          <w:szCs w:val="18"/>
        </w:rPr>
        <w:footnoteRef/>
      </w:r>
      <w:r w:rsidRPr="00747C5F">
        <w:rPr>
          <w:sz w:val="18"/>
          <w:szCs w:val="18"/>
        </w:rPr>
        <w:t xml:space="preserve"> </w:t>
      </w:r>
      <w:r w:rsidRPr="00747C5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013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4" o:spid="_x0000_s2054" type="#_x0000_t136" style="position:absolute;margin-left:0;margin-top:0;width:547.2pt;height:82.05pt;rotation:315;z-index:-25165465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057319">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013C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5" o:spid="_x0000_s2055" type="#_x0000_t136" style="position:absolute;left:0;text-align:left;margin-left:0;margin-top:0;width:547.2pt;height:82.05pt;rotation:315;z-index:-25165260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354268">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-1072967</wp:posOffset>
          </wp:positionH>
          <wp:positionV relativeFrom="paragraph">
            <wp:posOffset>-449906</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F013C3" w:rsidP="007263BB">
    <w:pPr>
      <w:pStyle w:val="Encabezado"/>
      <w:jc w:val="right"/>
      <w:rPr>
        <w:rFonts w:ascii="Arial" w:hAnsi="Arial" w:cs="Arial"/>
        <w:sz w:val="20"/>
        <w:szCs w:val="20"/>
      </w:rPr>
    </w:pPr>
  </w:p>
  <w:p w:rsidR="00D758BE" w:rsidRDefault="00F013C3"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D22C4E">
      <w:rPr>
        <w:rFonts w:ascii="Palatino Linotype" w:hAnsi="Palatino Linotype" w:cs="Arial"/>
        <w:b/>
        <w:sz w:val="20"/>
        <w:szCs w:val="20"/>
      </w:rPr>
      <w:t>0272</w:t>
    </w:r>
    <w:r w:rsidR="00897E24" w:rsidRPr="00897E24">
      <w:rPr>
        <w:rFonts w:ascii="Palatino Linotype" w:hAnsi="Palatino Linotype" w:cs="Arial"/>
        <w:b/>
        <w:sz w:val="20"/>
        <w:szCs w:val="20"/>
      </w:rPr>
      <w:t>/INFOEM/IP/RR/201</w:t>
    </w:r>
    <w:r w:rsidR="00D22C4E">
      <w:rPr>
        <w:rFonts w:ascii="Palatino Linotype" w:hAnsi="Palatino Linotype" w:cs="Arial"/>
        <w:b/>
        <w:sz w:val="20"/>
        <w:szCs w:val="20"/>
      </w:rPr>
      <w:t>9</w:t>
    </w:r>
    <w:r w:rsidR="00143624">
      <w:rPr>
        <w:rFonts w:ascii="Palatino Linotype" w:hAnsi="Palatino Linotype" w:cs="Arial"/>
        <w:b/>
        <w:sz w:val="20"/>
        <w:szCs w:val="20"/>
      </w:rPr>
      <w:t>.</w:t>
    </w:r>
  </w:p>
  <w:p w:rsidR="00D758BE" w:rsidRDefault="00F013C3" w:rsidP="007263BB">
    <w:pPr>
      <w:pStyle w:val="Encabezado"/>
      <w:jc w:val="right"/>
      <w:rPr>
        <w:rFonts w:ascii="Palatino Linotype" w:hAnsi="Palatino Linotype" w:cs="Arial"/>
        <w:sz w:val="20"/>
        <w:szCs w:val="20"/>
      </w:rPr>
    </w:pPr>
  </w:p>
  <w:p w:rsidR="00233AB2" w:rsidRDefault="00F013C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F013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3" o:spid="_x0000_s2053" type="#_x0000_t136" style="position:absolute;margin-left:0;margin-top:0;width:547.2pt;height:82.05pt;rotation:315;z-index:-25165670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0595"/>
    <w:rsid w:val="0002132C"/>
    <w:rsid w:val="00022E70"/>
    <w:rsid w:val="00030212"/>
    <w:rsid w:val="00032EE8"/>
    <w:rsid w:val="00045788"/>
    <w:rsid w:val="00047E96"/>
    <w:rsid w:val="00051C17"/>
    <w:rsid w:val="00053654"/>
    <w:rsid w:val="00057319"/>
    <w:rsid w:val="000607BA"/>
    <w:rsid w:val="000632F3"/>
    <w:rsid w:val="000642D8"/>
    <w:rsid w:val="000646F9"/>
    <w:rsid w:val="000714F2"/>
    <w:rsid w:val="000740BF"/>
    <w:rsid w:val="00085D13"/>
    <w:rsid w:val="000959AD"/>
    <w:rsid w:val="000A05B3"/>
    <w:rsid w:val="000A05F9"/>
    <w:rsid w:val="000A1E83"/>
    <w:rsid w:val="000A1F05"/>
    <w:rsid w:val="000A3415"/>
    <w:rsid w:val="000A52F5"/>
    <w:rsid w:val="000A6A80"/>
    <w:rsid w:val="000D45AD"/>
    <w:rsid w:val="001038D5"/>
    <w:rsid w:val="00112E3B"/>
    <w:rsid w:val="001209C9"/>
    <w:rsid w:val="001229EC"/>
    <w:rsid w:val="001248B9"/>
    <w:rsid w:val="001263E9"/>
    <w:rsid w:val="001360A5"/>
    <w:rsid w:val="001412C3"/>
    <w:rsid w:val="00143624"/>
    <w:rsid w:val="00147890"/>
    <w:rsid w:val="0015034F"/>
    <w:rsid w:val="001521B7"/>
    <w:rsid w:val="001528D6"/>
    <w:rsid w:val="00155046"/>
    <w:rsid w:val="00166985"/>
    <w:rsid w:val="00172B32"/>
    <w:rsid w:val="00173C5B"/>
    <w:rsid w:val="00176A16"/>
    <w:rsid w:val="001822F4"/>
    <w:rsid w:val="00186F6F"/>
    <w:rsid w:val="00191236"/>
    <w:rsid w:val="00196D0F"/>
    <w:rsid w:val="001A3B49"/>
    <w:rsid w:val="001A7C78"/>
    <w:rsid w:val="001B0084"/>
    <w:rsid w:val="001B218F"/>
    <w:rsid w:val="001B271B"/>
    <w:rsid w:val="001C151C"/>
    <w:rsid w:val="001C3682"/>
    <w:rsid w:val="001C7791"/>
    <w:rsid w:val="001D1536"/>
    <w:rsid w:val="001D7FBC"/>
    <w:rsid w:val="001F0F67"/>
    <w:rsid w:val="001F622E"/>
    <w:rsid w:val="001F686D"/>
    <w:rsid w:val="001F74A3"/>
    <w:rsid w:val="0020784D"/>
    <w:rsid w:val="00207AC4"/>
    <w:rsid w:val="00211214"/>
    <w:rsid w:val="00225005"/>
    <w:rsid w:val="00235A94"/>
    <w:rsid w:val="00253C2D"/>
    <w:rsid w:val="002813BC"/>
    <w:rsid w:val="002852F2"/>
    <w:rsid w:val="002901BE"/>
    <w:rsid w:val="00292D40"/>
    <w:rsid w:val="002A5ADD"/>
    <w:rsid w:val="002A5F7A"/>
    <w:rsid w:val="002A6359"/>
    <w:rsid w:val="002B0D5A"/>
    <w:rsid w:val="002D3ACC"/>
    <w:rsid w:val="002D7AFB"/>
    <w:rsid w:val="002E2DB1"/>
    <w:rsid w:val="002E37F8"/>
    <w:rsid w:val="002E6C25"/>
    <w:rsid w:val="002E6F99"/>
    <w:rsid w:val="002F1845"/>
    <w:rsid w:val="0030480F"/>
    <w:rsid w:val="00314438"/>
    <w:rsid w:val="00322324"/>
    <w:rsid w:val="00322F60"/>
    <w:rsid w:val="0033414C"/>
    <w:rsid w:val="00334201"/>
    <w:rsid w:val="00335C19"/>
    <w:rsid w:val="00346DEE"/>
    <w:rsid w:val="00351122"/>
    <w:rsid w:val="00354268"/>
    <w:rsid w:val="00360393"/>
    <w:rsid w:val="0036408D"/>
    <w:rsid w:val="00374C91"/>
    <w:rsid w:val="0038642F"/>
    <w:rsid w:val="003A209F"/>
    <w:rsid w:val="003A25DC"/>
    <w:rsid w:val="003A4486"/>
    <w:rsid w:val="003C500B"/>
    <w:rsid w:val="003C7D1D"/>
    <w:rsid w:val="003D1840"/>
    <w:rsid w:val="003F233C"/>
    <w:rsid w:val="003F2FD3"/>
    <w:rsid w:val="00404D77"/>
    <w:rsid w:val="00422629"/>
    <w:rsid w:val="0042332B"/>
    <w:rsid w:val="00427B9A"/>
    <w:rsid w:val="00456467"/>
    <w:rsid w:val="0045723C"/>
    <w:rsid w:val="00462FE0"/>
    <w:rsid w:val="00465786"/>
    <w:rsid w:val="00471402"/>
    <w:rsid w:val="00476CF0"/>
    <w:rsid w:val="00477E5C"/>
    <w:rsid w:val="00477FDA"/>
    <w:rsid w:val="00480D27"/>
    <w:rsid w:val="0049578E"/>
    <w:rsid w:val="004B391C"/>
    <w:rsid w:val="004B6824"/>
    <w:rsid w:val="004B7BA0"/>
    <w:rsid w:val="004E0B4E"/>
    <w:rsid w:val="004F774F"/>
    <w:rsid w:val="00505F5A"/>
    <w:rsid w:val="005110C9"/>
    <w:rsid w:val="005111D9"/>
    <w:rsid w:val="00531DBB"/>
    <w:rsid w:val="00537CCB"/>
    <w:rsid w:val="00542762"/>
    <w:rsid w:val="00543E3E"/>
    <w:rsid w:val="00554837"/>
    <w:rsid w:val="005549ED"/>
    <w:rsid w:val="00560182"/>
    <w:rsid w:val="00572618"/>
    <w:rsid w:val="005777C1"/>
    <w:rsid w:val="00583D84"/>
    <w:rsid w:val="00592D7B"/>
    <w:rsid w:val="005A7373"/>
    <w:rsid w:val="005B5D7C"/>
    <w:rsid w:val="005B7B66"/>
    <w:rsid w:val="005D066B"/>
    <w:rsid w:val="005D64FA"/>
    <w:rsid w:val="005E2A98"/>
    <w:rsid w:val="005F4C0C"/>
    <w:rsid w:val="006060EE"/>
    <w:rsid w:val="006214D7"/>
    <w:rsid w:val="00624FDE"/>
    <w:rsid w:val="00632026"/>
    <w:rsid w:val="00644A98"/>
    <w:rsid w:val="00650509"/>
    <w:rsid w:val="00650D89"/>
    <w:rsid w:val="00650DC2"/>
    <w:rsid w:val="00652576"/>
    <w:rsid w:val="00661C85"/>
    <w:rsid w:val="0066206E"/>
    <w:rsid w:val="006646E5"/>
    <w:rsid w:val="00672834"/>
    <w:rsid w:val="0067524F"/>
    <w:rsid w:val="006753CB"/>
    <w:rsid w:val="00676786"/>
    <w:rsid w:val="0067739E"/>
    <w:rsid w:val="0068557C"/>
    <w:rsid w:val="00691E2E"/>
    <w:rsid w:val="006A142E"/>
    <w:rsid w:val="006A2894"/>
    <w:rsid w:val="006A3897"/>
    <w:rsid w:val="006A6AF4"/>
    <w:rsid w:val="006B53DC"/>
    <w:rsid w:val="006B56E1"/>
    <w:rsid w:val="006C3430"/>
    <w:rsid w:val="006C34A1"/>
    <w:rsid w:val="006D71ED"/>
    <w:rsid w:val="006E048C"/>
    <w:rsid w:val="006E0A63"/>
    <w:rsid w:val="006E7493"/>
    <w:rsid w:val="006F346D"/>
    <w:rsid w:val="006F4B25"/>
    <w:rsid w:val="0070208A"/>
    <w:rsid w:val="00713C13"/>
    <w:rsid w:val="00714A12"/>
    <w:rsid w:val="0071686D"/>
    <w:rsid w:val="007238D6"/>
    <w:rsid w:val="007417CA"/>
    <w:rsid w:val="00741887"/>
    <w:rsid w:val="007548FD"/>
    <w:rsid w:val="007617F6"/>
    <w:rsid w:val="007676C8"/>
    <w:rsid w:val="00770853"/>
    <w:rsid w:val="0077712B"/>
    <w:rsid w:val="007841E7"/>
    <w:rsid w:val="007928CC"/>
    <w:rsid w:val="007B48DE"/>
    <w:rsid w:val="007B6EE5"/>
    <w:rsid w:val="007D139D"/>
    <w:rsid w:val="007D67CE"/>
    <w:rsid w:val="007E4CD0"/>
    <w:rsid w:val="007E6099"/>
    <w:rsid w:val="007E61A3"/>
    <w:rsid w:val="007F65BD"/>
    <w:rsid w:val="00817AA2"/>
    <w:rsid w:val="00820105"/>
    <w:rsid w:val="00836D44"/>
    <w:rsid w:val="00845226"/>
    <w:rsid w:val="0084741F"/>
    <w:rsid w:val="00852954"/>
    <w:rsid w:val="00891A8B"/>
    <w:rsid w:val="00892DF4"/>
    <w:rsid w:val="008957B1"/>
    <w:rsid w:val="00897E24"/>
    <w:rsid w:val="008A13ED"/>
    <w:rsid w:val="008A261D"/>
    <w:rsid w:val="008A4206"/>
    <w:rsid w:val="008B691F"/>
    <w:rsid w:val="008C41DD"/>
    <w:rsid w:val="008C4482"/>
    <w:rsid w:val="008C5722"/>
    <w:rsid w:val="008C789B"/>
    <w:rsid w:val="008D3AF3"/>
    <w:rsid w:val="008E5CE9"/>
    <w:rsid w:val="00901CBD"/>
    <w:rsid w:val="00907451"/>
    <w:rsid w:val="00921EAB"/>
    <w:rsid w:val="00952AE7"/>
    <w:rsid w:val="00956FEF"/>
    <w:rsid w:val="00960BAE"/>
    <w:rsid w:val="009611D3"/>
    <w:rsid w:val="009672DF"/>
    <w:rsid w:val="009767C2"/>
    <w:rsid w:val="0098044D"/>
    <w:rsid w:val="009818E5"/>
    <w:rsid w:val="00984FB3"/>
    <w:rsid w:val="0098633B"/>
    <w:rsid w:val="009874D7"/>
    <w:rsid w:val="00995D7C"/>
    <w:rsid w:val="009A29EF"/>
    <w:rsid w:val="009A32CE"/>
    <w:rsid w:val="009A4C57"/>
    <w:rsid w:val="009A5E4A"/>
    <w:rsid w:val="009B4BAC"/>
    <w:rsid w:val="009C273E"/>
    <w:rsid w:val="009D4A3C"/>
    <w:rsid w:val="009F069C"/>
    <w:rsid w:val="009F2FF9"/>
    <w:rsid w:val="009F44E9"/>
    <w:rsid w:val="00A01E1E"/>
    <w:rsid w:val="00A074F6"/>
    <w:rsid w:val="00A1161D"/>
    <w:rsid w:val="00A1235D"/>
    <w:rsid w:val="00A21005"/>
    <w:rsid w:val="00A2363A"/>
    <w:rsid w:val="00A36454"/>
    <w:rsid w:val="00A44967"/>
    <w:rsid w:val="00A458B3"/>
    <w:rsid w:val="00A46685"/>
    <w:rsid w:val="00A60D55"/>
    <w:rsid w:val="00A65F94"/>
    <w:rsid w:val="00A70F6F"/>
    <w:rsid w:val="00A768A1"/>
    <w:rsid w:val="00A85E6E"/>
    <w:rsid w:val="00A87723"/>
    <w:rsid w:val="00A935F3"/>
    <w:rsid w:val="00A964EF"/>
    <w:rsid w:val="00AC1290"/>
    <w:rsid w:val="00AC5E73"/>
    <w:rsid w:val="00AD0389"/>
    <w:rsid w:val="00AD2489"/>
    <w:rsid w:val="00AD24B7"/>
    <w:rsid w:val="00AE35F2"/>
    <w:rsid w:val="00B02DEB"/>
    <w:rsid w:val="00B0601C"/>
    <w:rsid w:val="00B23B76"/>
    <w:rsid w:val="00B23C9B"/>
    <w:rsid w:val="00B2599D"/>
    <w:rsid w:val="00B40F71"/>
    <w:rsid w:val="00B547F4"/>
    <w:rsid w:val="00B56F36"/>
    <w:rsid w:val="00B57FC7"/>
    <w:rsid w:val="00B62AEE"/>
    <w:rsid w:val="00B63624"/>
    <w:rsid w:val="00B64C32"/>
    <w:rsid w:val="00B675A2"/>
    <w:rsid w:val="00B87693"/>
    <w:rsid w:val="00B95ED4"/>
    <w:rsid w:val="00BA0E4D"/>
    <w:rsid w:val="00BA36B1"/>
    <w:rsid w:val="00BC2372"/>
    <w:rsid w:val="00BE3321"/>
    <w:rsid w:val="00BF12D9"/>
    <w:rsid w:val="00BF1C0D"/>
    <w:rsid w:val="00C04B7C"/>
    <w:rsid w:val="00C05880"/>
    <w:rsid w:val="00C07684"/>
    <w:rsid w:val="00C07F03"/>
    <w:rsid w:val="00C168C0"/>
    <w:rsid w:val="00C222AF"/>
    <w:rsid w:val="00C25892"/>
    <w:rsid w:val="00C44E15"/>
    <w:rsid w:val="00C44FD3"/>
    <w:rsid w:val="00C5428A"/>
    <w:rsid w:val="00C56623"/>
    <w:rsid w:val="00C57100"/>
    <w:rsid w:val="00C57674"/>
    <w:rsid w:val="00C618CD"/>
    <w:rsid w:val="00C61C9F"/>
    <w:rsid w:val="00C64FDB"/>
    <w:rsid w:val="00C72D86"/>
    <w:rsid w:val="00C7542E"/>
    <w:rsid w:val="00C8657B"/>
    <w:rsid w:val="00C976AC"/>
    <w:rsid w:val="00CA1B5F"/>
    <w:rsid w:val="00CA2A54"/>
    <w:rsid w:val="00CA4B40"/>
    <w:rsid w:val="00CA6CDC"/>
    <w:rsid w:val="00CB19D1"/>
    <w:rsid w:val="00CC1202"/>
    <w:rsid w:val="00CC2D22"/>
    <w:rsid w:val="00CC5CDC"/>
    <w:rsid w:val="00CF0BAC"/>
    <w:rsid w:val="00CF29D2"/>
    <w:rsid w:val="00D026DB"/>
    <w:rsid w:val="00D17DDA"/>
    <w:rsid w:val="00D22C4E"/>
    <w:rsid w:val="00D24225"/>
    <w:rsid w:val="00D300AA"/>
    <w:rsid w:val="00D32E4F"/>
    <w:rsid w:val="00D33D3B"/>
    <w:rsid w:val="00D35D41"/>
    <w:rsid w:val="00D36E74"/>
    <w:rsid w:val="00D54CE0"/>
    <w:rsid w:val="00D550AF"/>
    <w:rsid w:val="00D5593C"/>
    <w:rsid w:val="00D57305"/>
    <w:rsid w:val="00D574AC"/>
    <w:rsid w:val="00D677F6"/>
    <w:rsid w:val="00D75967"/>
    <w:rsid w:val="00D75EDA"/>
    <w:rsid w:val="00D8616C"/>
    <w:rsid w:val="00D871E1"/>
    <w:rsid w:val="00DB70E3"/>
    <w:rsid w:val="00DC32F9"/>
    <w:rsid w:val="00DC752B"/>
    <w:rsid w:val="00DE4075"/>
    <w:rsid w:val="00DE6C63"/>
    <w:rsid w:val="00DF27E6"/>
    <w:rsid w:val="00DF5F73"/>
    <w:rsid w:val="00E00483"/>
    <w:rsid w:val="00E20299"/>
    <w:rsid w:val="00E203E1"/>
    <w:rsid w:val="00E20BB6"/>
    <w:rsid w:val="00E30FFD"/>
    <w:rsid w:val="00E34CDC"/>
    <w:rsid w:val="00E35D2D"/>
    <w:rsid w:val="00E360A3"/>
    <w:rsid w:val="00E37E64"/>
    <w:rsid w:val="00E56FC2"/>
    <w:rsid w:val="00E66D60"/>
    <w:rsid w:val="00E76358"/>
    <w:rsid w:val="00E91BA0"/>
    <w:rsid w:val="00E920D4"/>
    <w:rsid w:val="00E96D92"/>
    <w:rsid w:val="00E971BD"/>
    <w:rsid w:val="00ED73E4"/>
    <w:rsid w:val="00EE39C2"/>
    <w:rsid w:val="00EF6155"/>
    <w:rsid w:val="00F009A0"/>
    <w:rsid w:val="00F013C3"/>
    <w:rsid w:val="00F06808"/>
    <w:rsid w:val="00F06D48"/>
    <w:rsid w:val="00F152E8"/>
    <w:rsid w:val="00F27B85"/>
    <w:rsid w:val="00F44EC3"/>
    <w:rsid w:val="00F466F2"/>
    <w:rsid w:val="00F47DB4"/>
    <w:rsid w:val="00F508F8"/>
    <w:rsid w:val="00F63067"/>
    <w:rsid w:val="00F67414"/>
    <w:rsid w:val="00F71053"/>
    <w:rsid w:val="00F76B05"/>
    <w:rsid w:val="00F77416"/>
    <w:rsid w:val="00F81F58"/>
    <w:rsid w:val="00F86364"/>
    <w:rsid w:val="00F86E78"/>
    <w:rsid w:val="00F9526D"/>
    <w:rsid w:val="00F97255"/>
    <w:rsid w:val="00FA35CD"/>
    <w:rsid w:val="00FB2497"/>
    <w:rsid w:val="00FC2D75"/>
    <w:rsid w:val="00FC759F"/>
    <w:rsid w:val="00FD0CA6"/>
    <w:rsid w:val="00FD157E"/>
    <w:rsid w:val="00FD3336"/>
    <w:rsid w:val="00FD5DEC"/>
    <w:rsid w:val="00FE3B61"/>
    <w:rsid w:val="00FE6E9B"/>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B6D858-2D46-4DE3-9A44-49B05128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948</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2019-03-05T19:40:00Z</cp:lastPrinted>
  <dcterms:created xsi:type="dcterms:W3CDTF">2019-03-18T04:45:00Z</dcterms:created>
  <dcterms:modified xsi:type="dcterms:W3CDTF">2019-08-08T16:17:00Z</dcterms:modified>
</cp:coreProperties>
</file>